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D42" w:rsidRPr="00D56731" w:rsidRDefault="006E276E" w:rsidP="00747591">
      <w:pPr>
        <w:spacing w:beforeLines="50" w:before="162" w:afterLines="50" w:after="162"/>
        <w:jc w:val="center"/>
        <w:rPr>
          <w:rFonts w:ascii="方正小标宋_GBK" w:eastAsia="方正小标宋_GBK" w:hAnsi="方正小标宋_GBK" w:cs="方正小标宋_GBK" w:hint="eastAsia"/>
          <w:color w:val="000000"/>
          <w:kern w:val="0"/>
          <w:sz w:val="44"/>
          <w:szCs w:val="44"/>
        </w:rPr>
      </w:pPr>
      <w:r w:rsidRPr="00D56731">
        <w:rPr>
          <w:rFonts w:ascii="方正小标宋_GBK" w:eastAsia="方正小标宋_GBK" w:hAnsi="方正小标宋_GBK" w:cs="方正小标宋_GBK" w:hint="eastAsia"/>
          <w:color w:val="000000"/>
          <w:kern w:val="0"/>
          <w:sz w:val="44"/>
          <w:szCs w:val="44"/>
        </w:rPr>
        <w:t>自治区</w:t>
      </w:r>
      <w:bookmarkStart w:id="0" w:name="_GoBack"/>
      <w:bookmarkEnd w:id="0"/>
      <w:r w:rsidRPr="00D56731">
        <w:rPr>
          <w:rFonts w:ascii="方正小标宋_GBK" w:eastAsia="方正小标宋_GBK" w:hAnsi="方正小标宋_GBK" w:cs="方正小标宋_GBK" w:hint="eastAsia"/>
          <w:color w:val="000000"/>
          <w:kern w:val="0"/>
          <w:sz w:val="44"/>
          <w:szCs w:val="44"/>
        </w:rPr>
        <w:t>粮食</w:t>
      </w:r>
      <w:r w:rsidR="00747591" w:rsidRPr="00D56731">
        <w:rPr>
          <w:rFonts w:ascii="方正小标宋_GBK" w:eastAsia="方正小标宋_GBK" w:hAnsi="方正小标宋_GBK" w:cs="方正小标宋_GBK" w:hint="eastAsia"/>
          <w:color w:val="000000"/>
          <w:kern w:val="0"/>
          <w:sz w:val="44"/>
          <w:szCs w:val="44"/>
        </w:rPr>
        <w:t>和物资储备局</w:t>
      </w:r>
      <w:r w:rsidRPr="00D56731">
        <w:rPr>
          <w:rFonts w:ascii="方正小标宋_GBK" w:eastAsia="方正小标宋_GBK" w:hAnsi="方正小标宋_GBK" w:cs="方正小标宋_GBK" w:hint="eastAsia"/>
          <w:color w:val="000000"/>
          <w:kern w:val="0"/>
          <w:sz w:val="44"/>
          <w:szCs w:val="44"/>
        </w:rPr>
        <w:t>权力清单</w:t>
      </w:r>
    </w:p>
    <w:p w:rsidR="00074F4C" w:rsidRPr="00074F4C" w:rsidRDefault="00074F4C" w:rsidP="00074F4C">
      <w:pPr>
        <w:jc w:val="center"/>
        <w:rPr>
          <w:rFonts w:ascii="楷体_GB2312" w:eastAsia="楷体_GB2312" w:hAnsi="黑体" w:cs="黑体"/>
          <w:b/>
          <w:sz w:val="32"/>
          <w:szCs w:val="32"/>
        </w:rPr>
      </w:pPr>
      <w:r>
        <w:rPr>
          <w:rFonts w:ascii="楷体_GB2312" w:eastAsia="楷体_GB2312" w:hAnsi="等线" w:cs="等线" w:hint="eastAsia"/>
          <w:b/>
          <w:color w:val="000000"/>
          <w:kern w:val="0"/>
          <w:sz w:val="32"/>
          <w:szCs w:val="32"/>
        </w:rPr>
        <w:t>一</w:t>
      </w:r>
      <w:r w:rsidRPr="00074F4C">
        <w:rPr>
          <w:rFonts w:ascii="楷体_GB2312" w:eastAsia="楷体_GB2312" w:hAnsi="等线" w:cs="等线" w:hint="eastAsia"/>
          <w:b/>
          <w:color w:val="000000"/>
          <w:kern w:val="0"/>
          <w:sz w:val="32"/>
          <w:szCs w:val="32"/>
        </w:rPr>
        <w:t>、</w:t>
      </w:r>
      <w:r w:rsidRPr="00074F4C">
        <w:rPr>
          <w:rFonts w:ascii="楷体_GB2312" w:eastAsia="楷体_GB2312" w:hAnsi="等线" w:cs="等线"/>
          <w:b/>
          <w:color w:val="000000"/>
          <w:kern w:val="0"/>
          <w:sz w:val="32"/>
          <w:szCs w:val="32"/>
        </w:rPr>
        <w:t>行政</w:t>
      </w:r>
      <w:r>
        <w:rPr>
          <w:rFonts w:ascii="楷体_GB2312" w:eastAsia="楷体_GB2312" w:hAnsi="等线" w:cs="等线" w:hint="eastAsia"/>
          <w:b/>
          <w:color w:val="000000"/>
          <w:kern w:val="0"/>
          <w:sz w:val="32"/>
          <w:szCs w:val="32"/>
        </w:rPr>
        <w:t>许可</w:t>
      </w:r>
    </w:p>
    <w:tbl>
      <w:tblPr>
        <w:tblW w:w="13948" w:type="dxa"/>
        <w:tblLook w:val="04A0" w:firstRow="1" w:lastRow="0" w:firstColumn="1" w:lastColumn="0" w:noHBand="0" w:noVBand="1"/>
      </w:tblPr>
      <w:tblGrid>
        <w:gridCol w:w="704"/>
        <w:gridCol w:w="1267"/>
        <w:gridCol w:w="707"/>
        <w:gridCol w:w="791"/>
        <w:gridCol w:w="779"/>
        <w:gridCol w:w="6131"/>
        <w:gridCol w:w="1037"/>
        <w:gridCol w:w="2532"/>
      </w:tblGrid>
      <w:tr w:rsidR="00074F4C" w:rsidRPr="00074F4C" w:rsidTr="00074F4C">
        <w:trPr>
          <w:trHeight w:val="93"/>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序号</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职权名称</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子项名称</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基本编码</w:t>
            </w:r>
          </w:p>
        </w:tc>
        <w:tc>
          <w:tcPr>
            <w:tcW w:w="779" w:type="dxa"/>
            <w:tcBorders>
              <w:top w:val="single" w:sz="4" w:space="0" w:color="auto"/>
              <w:left w:val="nil"/>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实施部门</w:t>
            </w:r>
          </w:p>
        </w:tc>
        <w:tc>
          <w:tcPr>
            <w:tcW w:w="6131" w:type="dxa"/>
            <w:tcBorders>
              <w:top w:val="single" w:sz="4" w:space="0" w:color="auto"/>
              <w:left w:val="nil"/>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职权依据</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行使</w:t>
            </w:r>
          </w:p>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层级</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074F4C" w:rsidRPr="00074F4C" w:rsidRDefault="00074F4C" w:rsidP="00074F4C">
            <w:pPr>
              <w:widowControl/>
              <w:spacing w:line="240" w:lineRule="exact"/>
              <w:jc w:val="center"/>
              <w:rPr>
                <w:rFonts w:ascii="仿宋_GB2312" w:eastAsia="仿宋_GB2312" w:hAnsi="宋体" w:cs="宋体"/>
                <w:b/>
                <w:bCs/>
                <w:color w:val="000000"/>
                <w:kern w:val="0"/>
                <w:szCs w:val="21"/>
              </w:rPr>
            </w:pPr>
            <w:r w:rsidRPr="00074F4C">
              <w:rPr>
                <w:rFonts w:ascii="仿宋_GB2312" w:eastAsia="仿宋_GB2312" w:hAnsi="宋体" w:cs="宋体" w:hint="eastAsia"/>
                <w:b/>
                <w:bCs/>
                <w:color w:val="000000"/>
                <w:kern w:val="0"/>
                <w:szCs w:val="21"/>
              </w:rPr>
              <w:t>行使内容</w:t>
            </w:r>
          </w:p>
        </w:tc>
      </w:tr>
      <w:tr w:rsidR="00074F4C" w:rsidRPr="00074F4C" w:rsidTr="00074F4C">
        <w:trPr>
          <w:trHeight w:val="169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074F4C" w:rsidRPr="00074F4C" w:rsidRDefault="00074F4C" w:rsidP="00074F4C">
            <w:pPr>
              <w:widowControl/>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1</w:t>
            </w:r>
          </w:p>
        </w:tc>
        <w:tc>
          <w:tcPr>
            <w:tcW w:w="1267" w:type="dxa"/>
            <w:tcBorders>
              <w:top w:val="nil"/>
              <w:left w:val="single" w:sz="4" w:space="0" w:color="auto"/>
              <w:bottom w:val="single" w:sz="4" w:space="0" w:color="auto"/>
              <w:right w:val="single" w:sz="4" w:space="0" w:color="auto"/>
            </w:tcBorders>
            <w:shd w:val="clear" w:color="auto" w:fill="auto"/>
            <w:vAlign w:val="center"/>
            <w:hideMark/>
          </w:tcPr>
          <w:p w:rsidR="00074F4C" w:rsidRPr="00074F4C" w:rsidRDefault="00074F4C" w:rsidP="00074F4C">
            <w:pPr>
              <w:widowControl/>
              <w:jc w:val="left"/>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储备粮储备资格认定</w:t>
            </w:r>
          </w:p>
        </w:tc>
        <w:tc>
          <w:tcPr>
            <w:tcW w:w="707" w:type="dxa"/>
            <w:tcBorders>
              <w:top w:val="nil"/>
              <w:left w:val="single" w:sz="4" w:space="0" w:color="auto"/>
              <w:bottom w:val="single" w:sz="4" w:space="0" w:color="auto"/>
              <w:right w:val="single" w:sz="4" w:space="0" w:color="auto"/>
            </w:tcBorders>
            <w:shd w:val="clear" w:color="auto" w:fill="auto"/>
            <w:vAlign w:val="center"/>
            <w:hideMark/>
          </w:tcPr>
          <w:p w:rsidR="00074F4C" w:rsidRPr="00074F4C" w:rsidRDefault="00074F4C" w:rsidP="00074F4C">
            <w:pPr>
              <w:widowControl/>
              <w:rPr>
                <w:rFonts w:ascii="仿宋_GB2312" w:eastAsia="仿宋_GB2312" w:hAnsi="宋体" w:cs="宋体"/>
                <w:color w:val="000000"/>
                <w:kern w:val="0"/>
                <w:szCs w:val="21"/>
              </w:rPr>
            </w:pPr>
          </w:p>
        </w:tc>
        <w:tc>
          <w:tcPr>
            <w:tcW w:w="791" w:type="dxa"/>
            <w:tcBorders>
              <w:top w:val="nil"/>
              <w:left w:val="single" w:sz="4" w:space="0" w:color="auto"/>
              <w:bottom w:val="single" w:sz="4" w:space="0" w:color="000000"/>
              <w:right w:val="single" w:sz="4" w:space="0" w:color="auto"/>
            </w:tcBorders>
            <w:shd w:val="clear" w:color="auto" w:fill="auto"/>
            <w:vAlign w:val="center"/>
            <w:hideMark/>
          </w:tcPr>
          <w:p w:rsidR="00074F4C" w:rsidRPr="00074F4C" w:rsidRDefault="00074F4C" w:rsidP="00074F4C">
            <w:pPr>
              <w:widowControl/>
              <w:wordWrap w:val="0"/>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0135001000</w:t>
            </w:r>
          </w:p>
        </w:tc>
        <w:tc>
          <w:tcPr>
            <w:tcW w:w="779" w:type="dxa"/>
            <w:tcBorders>
              <w:top w:val="nil"/>
              <w:left w:val="single" w:sz="4" w:space="0" w:color="auto"/>
              <w:bottom w:val="single" w:sz="4" w:space="0" w:color="auto"/>
              <w:right w:val="single" w:sz="4" w:space="0" w:color="auto"/>
            </w:tcBorders>
            <w:shd w:val="clear" w:color="auto" w:fill="auto"/>
            <w:vAlign w:val="center"/>
            <w:hideMark/>
          </w:tcPr>
          <w:p w:rsidR="00074F4C" w:rsidRPr="00074F4C" w:rsidRDefault="00074F4C" w:rsidP="00074F4C">
            <w:pPr>
              <w:widowControl/>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粮食行政主管部门</w:t>
            </w:r>
          </w:p>
        </w:tc>
        <w:tc>
          <w:tcPr>
            <w:tcW w:w="6131" w:type="dxa"/>
            <w:tcBorders>
              <w:top w:val="nil"/>
              <w:left w:val="single" w:sz="4" w:space="0" w:color="auto"/>
              <w:bottom w:val="single" w:sz="4" w:space="0" w:color="auto"/>
              <w:right w:val="single" w:sz="4" w:space="0" w:color="auto"/>
            </w:tcBorders>
            <w:shd w:val="clear" w:color="auto" w:fill="auto"/>
            <w:vAlign w:val="center"/>
            <w:hideMark/>
          </w:tcPr>
          <w:p w:rsidR="00074F4C" w:rsidRDefault="00074F4C" w:rsidP="00074F4C">
            <w:pPr>
              <w:widowControl/>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【地方性法规】《宁夏回族自治区地方储备粮管理条例》(2015修正)</w:t>
            </w:r>
          </w:p>
          <w:p w:rsidR="00074F4C" w:rsidRDefault="00074F4C" w:rsidP="00074F4C">
            <w:pPr>
              <w:widowControl/>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第十八条 储备粮储存实行资格认证制度。未取得储备粮储存企业资格的，不得从事储备粮的储存业务。</w:t>
            </w:r>
          </w:p>
          <w:p w:rsidR="00074F4C" w:rsidRDefault="00074F4C" w:rsidP="00074F4C">
            <w:pPr>
              <w:widowControl/>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自治区储备粮原粮储存企业资格，由自治区粮食管理部门依法审核认定；自治区和设区的市成品粮储存企业资格，由设区的市粮食管理部门依法审核认定；县级成品粮储存企业资格，由县级粮食管理部门依法审核认定。各类粮食加工、经营企业和农户储存自有粮食的除外。</w:t>
            </w:r>
          </w:p>
          <w:p w:rsidR="00074F4C" w:rsidRPr="00074F4C" w:rsidRDefault="00074F4C" w:rsidP="00074F4C">
            <w:pPr>
              <w:widowControl/>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取得储备粮储存企业资格的承储企业申请储存储备粮的，自治区粮食管理部门或者设区的市和县（市）粮食管理部门可以采用招投标方式进行选定。</w:t>
            </w:r>
          </w:p>
        </w:tc>
        <w:tc>
          <w:tcPr>
            <w:tcW w:w="1037"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自治区</w:t>
            </w:r>
          </w:p>
        </w:tc>
        <w:tc>
          <w:tcPr>
            <w:tcW w:w="2532"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left"/>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自治区储备粮原粮储存企业资格认定</w:t>
            </w:r>
          </w:p>
        </w:tc>
      </w:tr>
      <w:tr w:rsidR="00074F4C" w:rsidRPr="00074F4C" w:rsidTr="00074F4C">
        <w:trPr>
          <w:trHeight w:val="1481"/>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074F4C" w:rsidRPr="00074F4C" w:rsidRDefault="00074F4C" w:rsidP="00074F4C">
            <w:pPr>
              <w:widowControl/>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2</w:t>
            </w:r>
          </w:p>
        </w:tc>
        <w:tc>
          <w:tcPr>
            <w:tcW w:w="1267"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left"/>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军粮供应站资格、军粮供应委托代理资格认定</w:t>
            </w:r>
          </w:p>
        </w:tc>
        <w:tc>
          <w:tcPr>
            <w:tcW w:w="707"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left"/>
              <w:rPr>
                <w:rFonts w:ascii="仿宋_GB2312" w:eastAsia="仿宋_GB2312" w:hAnsi="宋体" w:cs="宋体"/>
                <w:color w:val="000000"/>
                <w:kern w:val="0"/>
                <w:szCs w:val="21"/>
              </w:rPr>
            </w:pPr>
          </w:p>
        </w:tc>
        <w:tc>
          <w:tcPr>
            <w:tcW w:w="791"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wordWrap w:val="0"/>
              <w:jc w:val="left"/>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0135002000</w:t>
            </w:r>
          </w:p>
        </w:tc>
        <w:tc>
          <w:tcPr>
            <w:tcW w:w="779"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粮食行政主管部门</w:t>
            </w:r>
          </w:p>
        </w:tc>
        <w:tc>
          <w:tcPr>
            <w:tcW w:w="6131" w:type="dxa"/>
            <w:tcBorders>
              <w:top w:val="nil"/>
              <w:left w:val="nil"/>
              <w:bottom w:val="single" w:sz="4" w:space="0" w:color="auto"/>
              <w:right w:val="single" w:sz="4" w:space="0" w:color="auto"/>
            </w:tcBorders>
            <w:shd w:val="clear" w:color="auto" w:fill="auto"/>
            <w:vAlign w:val="center"/>
            <w:hideMark/>
          </w:tcPr>
          <w:p w:rsidR="00074F4C" w:rsidRDefault="00074F4C" w:rsidP="00074F4C">
            <w:pPr>
              <w:widowControl/>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【国务院决定】《国务院对确需保留的行政审批项目设定行政许可的决定》（2016年国务院令第671号修改）</w:t>
            </w:r>
          </w:p>
          <w:p w:rsidR="00074F4C" w:rsidRPr="00074F4C" w:rsidRDefault="00074F4C" w:rsidP="00074F4C">
            <w:pPr>
              <w:widowControl/>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附件第440项 军粮供应站资格、军粮供应委托代理资格认定由省级人民政府粮食行政主管部门实施。</w:t>
            </w:r>
          </w:p>
        </w:tc>
        <w:tc>
          <w:tcPr>
            <w:tcW w:w="1037"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center"/>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自治区</w:t>
            </w:r>
          </w:p>
        </w:tc>
        <w:tc>
          <w:tcPr>
            <w:tcW w:w="2532" w:type="dxa"/>
            <w:tcBorders>
              <w:top w:val="nil"/>
              <w:left w:val="nil"/>
              <w:bottom w:val="single" w:sz="4" w:space="0" w:color="auto"/>
              <w:right w:val="single" w:sz="4" w:space="0" w:color="auto"/>
            </w:tcBorders>
            <w:shd w:val="clear" w:color="auto" w:fill="auto"/>
            <w:vAlign w:val="center"/>
            <w:hideMark/>
          </w:tcPr>
          <w:p w:rsidR="00074F4C" w:rsidRPr="00074F4C" w:rsidRDefault="00074F4C" w:rsidP="00074F4C">
            <w:pPr>
              <w:widowControl/>
              <w:jc w:val="left"/>
              <w:rPr>
                <w:rFonts w:ascii="仿宋_GB2312" w:eastAsia="仿宋_GB2312" w:hAnsi="宋体" w:cs="宋体"/>
                <w:color w:val="000000"/>
                <w:kern w:val="0"/>
                <w:szCs w:val="21"/>
              </w:rPr>
            </w:pPr>
            <w:r w:rsidRPr="00074F4C">
              <w:rPr>
                <w:rFonts w:ascii="仿宋_GB2312" w:eastAsia="仿宋_GB2312" w:hAnsi="宋体" w:cs="宋体" w:hint="eastAsia"/>
                <w:color w:val="000000"/>
                <w:kern w:val="0"/>
                <w:szCs w:val="21"/>
              </w:rPr>
              <w:t xml:space="preserve">　</w:t>
            </w:r>
          </w:p>
        </w:tc>
      </w:tr>
    </w:tbl>
    <w:p w:rsidR="00074F4C" w:rsidRDefault="00074F4C">
      <w:pPr>
        <w:widowControl/>
        <w:jc w:val="left"/>
        <w:rPr>
          <w:rFonts w:ascii="楷体_GB2312" w:eastAsia="楷体_GB2312" w:hAnsi="等线" w:cs="等线"/>
          <w:b/>
          <w:color w:val="000000"/>
          <w:kern w:val="0"/>
          <w:sz w:val="32"/>
          <w:szCs w:val="32"/>
        </w:rPr>
      </w:pPr>
      <w:r>
        <w:rPr>
          <w:rFonts w:ascii="楷体_GB2312" w:eastAsia="楷体_GB2312" w:hAnsi="等线" w:cs="等线"/>
          <w:b/>
          <w:color w:val="000000"/>
          <w:kern w:val="0"/>
          <w:sz w:val="32"/>
          <w:szCs w:val="32"/>
        </w:rPr>
        <w:br w:type="page"/>
      </w:r>
    </w:p>
    <w:p w:rsidR="00D55D42" w:rsidRPr="00074F4C" w:rsidRDefault="00074F4C">
      <w:pPr>
        <w:jc w:val="center"/>
        <w:rPr>
          <w:rFonts w:ascii="楷体_GB2312" w:eastAsia="楷体_GB2312" w:hAnsi="黑体" w:cs="黑体"/>
          <w:b/>
          <w:sz w:val="32"/>
          <w:szCs w:val="32"/>
        </w:rPr>
      </w:pPr>
      <w:r w:rsidRPr="00074F4C">
        <w:rPr>
          <w:rFonts w:ascii="楷体_GB2312" w:eastAsia="楷体_GB2312" w:hAnsi="等线" w:cs="等线" w:hint="eastAsia"/>
          <w:b/>
          <w:color w:val="000000"/>
          <w:kern w:val="0"/>
          <w:sz w:val="32"/>
          <w:szCs w:val="32"/>
        </w:rPr>
        <w:lastRenderedPageBreak/>
        <w:t>二、</w:t>
      </w:r>
      <w:r w:rsidRPr="00074F4C">
        <w:rPr>
          <w:rFonts w:ascii="楷体_GB2312" w:eastAsia="楷体_GB2312" w:hAnsi="等线" w:cs="等线"/>
          <w:b/>
          <w:color w:val="000000"/>
          <w:kern w:val="0"/>
          <w:sz w:val="32"/>
          <w:szCs w:val="32"/>
        </w:rPr>
        <w:t>行政处罚</w:t>
      </w:r>
    </w:p>
    <w:tbl>
      <w:tblPr>
        <w:tblW w:w="1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4"/>
        <w:gridCol w:w="1474"/>
        <w:gridCol w:w="658"/>
        <w:gridCol w:w="545"/>
        <w:gridCol w:w="7555"/>
        <w:gridCol w:w="885"/>
        <w:gridCol w:w="2357"/>
      </w:tblGrid>
      <w:tr w:rsidR="00074F4C" w:rsidRPr="00074F4C" w:rsidTr="004A22D1">
        <w:trPr>
          <w:trHeight w:val="178"/>
          <w:tblHeader/>
        </w:trPr>
        <w:tc>
          <w:tcPr>
            <w:tcW w:w="474" w:type="dxa"/>
            <w:shd w:val="clear" w:color="auto" w:fill="auto"/>
            <w:vAlign w:val="center"/>
          </w:tcPr>
          <w:p w:rsidR="00074F4C" w:rsidRPr="00074F4C" w:rsidRDefault="00074F4C" w:rsidP="00074F4C">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序号</w:t>
            </w:r>
          </w:p>
        </w:tc>
        <w:tc>
          <w:tcPr>
            <w:tcW w:w="1474" w:type="dxa"/>
            <w:shd w:val="clear" w:color="auto" w:fill="auto"/>
            <w:vAlign w:val="center"/>
          </w:tcPr>
          <w:p w:rsidR="00074F4C" w:rsidRPr="00074F4C" w:rsidRDefault="00074F4C" w:rsidP="00074F4C">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职权名称</w:t>
            </w:r>
          </w:p>
        </w:tc>
        <w:tc>
          <w:tcPr>
            <w:tcW w:w="658" w:type="dxa"/>
            <w:shd w:val="clear" w:color="auto" w:fill="auto"/>
            <w:vAlign w:val="center"/>
          </w:tcPr>
          <w:p w:rsidR="00074F4C" w:rsidRPr="00074F4C" w:rsidRDefault="00074F4C" w:rsidP="008E3900">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基本编码</w:t>
            </w:r>
          </w:p>
        </w:tc>
        <w:tc>
          <w:tcPr>
            <w:tcW w:w="545" w:type="dxa"/>
            <w:shd w:val="clear" w:color="auto" w:fill="auto"/>
            <w:vAlign w:val="center"/>
          </w:tcPr>
          <w:p w:rsidR="00074F4C" w:rsidRPr="00074F4C" w:rsidRDefault="00074F4C" w:rsidP="008E3900">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实施部门</w:t>
            </w:r>
          </w:p>
        </w:tc>
        <w:tc>
          <w:tcPr>
            <w:tcW w:w="755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职权依据</w:t>
            </w:r>
          </w:p>
        </w:tc>
        <w:tc>
          <w:tcPr>
            <w:tcW w:w="88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b/>
                <w:color w:val="000000"/>
                <w:kern w:val="0"/>
                <w:szCs w:val="21"/>
              </w:rPr>
            </w:pPr>
            <w:r w:rsidRPr="00074F4C">
              <w:rPr>
                <w:rFonts w:ascii="仿宋_GB2312" w:eastAsia="仿宋_GB2312" w:hAnsi="Times New Roman" w:cs="Times New Roman" w:hint="eastAsia"/>
                <w:b/>
                <w:color w:val="000000"/>
                <w:kern w:val="0"/>
                <w:szCs w:val="21"/>
              </w:rPr>
              <w:t>行使</w:t>
            </w:r>
          </w:p>
          <w:p w:rsidR="00074F4C" w:rsidRPr="00074F4C" w:rsidRDefault="00074F4C">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层级</w:t>
            </w:r>
          </w:p>
        </w:tc>
        <w:tc>
          <w:tcPr>
            <w:tcW w:w="2357"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b/>
                <w:color w:val="000000"/>
                <w:szCs w:val="21"/>
              </w:rPr>
            </w:pPr>
            <w:r w:rsidRPr="00074F4C">
              <w:rPr>
                <w:rFonts w:ascii="仿宋_GB2312" w:eastAsia="仿宋_GB2312" w:hAnsi="Times New Roman" w:cs="Times New Roman" w:hint="eastAsia"/>
                <w:b/>
                <w:color w:val="000000"/>
                <w:kern w:val="0"/>
                <w:szCs w:val="21"/>
              </w:rPr>
              <w:t>行使内容</w:t>
            </w:r>
          </w:p>
        </w:tc>
      </w:tr>
      <w:tr w:rsidR="00074F4C" w:rsidRPr="00074F4C" w:rsidTr="004A22D1">
        <w:trPr>
          <w:trHeight w:val="1176"/>
        </w:trPr>
        <w:tc>
          <w:tcPr>
            <w:tcW w:w="474" w:type="dxa"/>
            <w:shd w:val="clear" w:color="auto" w:fill="auto"/>
            <w:vAlign w:val="center"/>
          </w:tcPr>
          <w:p w:rsidR="00074F4C" w:rsidRPr="00074F4C" w:rsidRDefault="004A22D1">
            <w:pPr>
              <w:widowControl/>
              <w:spacing w:line="260" w:lineRule="exact"/>
              <w:jc w:val="center"/>
              <w:textAlignment w:val="center"/>
              <w:rPr>
                <w:rFonts w:ascii="仿宋_GB2312" w:eastAsia="仿宋_GB2312" w:hAnsi="Times New Roman" w:cs="Times New Roman"/>
                <w:color w:val="000000"/>
                <w:kern w:val="0"/>
                <w:szCs w:val="21"/>
              </w:rPr>
            </w:pPr>
            <w:r>
              <w:rPr>
                <w:rFonts w:ascii="仿宋_GB2312" w:eastAsia="仿宋_GB2312" w:hAnsi="Times New Roman" w:cs="Times New Roman"/>
                <w:color w:val="000000"/>
                <w:kern w:val="0"/>
                <w:szCs w:val="21"/>
              </w:rPr>
              <w:t>1</w:t>
            </w:r>
          </w:p>
        </w:tc>
        <w:tc>
          <w:tcPr>
            <w:tcW w:w="1474" w:type="dxa"/>
            <w:shd w:val="clear" w:color="auto" w:fill="auto"/>
            <w:vAlign w:val="center"/>
          </w:tcPr>
          <w:p w:rsidR="00074F4C" w:rsidRPr="00074F4C" w:rsidRDefault="00074F4C" w:rsidP="00074F4C">
            <w:pPr>
              <w:widowControl/>
              <w:spacing w:line="260" w:lineRule="exac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对承储库未履行出库义务的处罚</w:t>
            </w:r>
          </w:p>
        </w:tc>
        <w:tc>
          <w:tcPr>
            <w:tcW w:w="658" w:type="dxa"/>
            <w:shd w:val="clear" w:color="auto" w:fill="auto"/>
            <w:vAlign w:val="center"/>
          </w:tcPr>
          <w:p w:rsidR="00074F4C" w:rsidRPr="00074F4C" w:rsidRDefault="00074F4C">
            <w:pPr>
              <w:spacing w:line="260" w:lineRule="exact"/>
              <w:jc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szCs w:val="21"/>
              </w:rPr>
              <w:t>0235004000</w:t>
            </w:r>
          </w:p>
        </w:tc>
        <w:tc>
          <w:tcPr>
            <w:tcW w:w="54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粮食行政管理部门</w:t>
            </w:r>
          </w:p>
        </w:tc>
        <w:tc>
          <w:tcPr>
            <w:tcW w:w="7555" w:type="dxa"/>
            <w:shd w:val="clear" w:color="auto" w:fill="auto"/>
            <w:vAlign w:val="center"/>
          </w:tcPr>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【规范性文件】《国家政策性粮食出库管理暂行办法》(发改经贸〔2012〕1520号)</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第二十条  承储库违反本办法第十二条规定的，由粮食行政管理部门责令改正，予以警告，可以处20万元以下的罚款；情节严重的，暂停或者取消粮食收购资格。</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因保管不善，导致粮食质量低于购销合同约定标准影响出库的，承储库应当承担经济损失。承储库是直属库的，由国家粮食行政管理部门责成中储粮总公司对其限期整改。承储库是非直属库的，由直属库根据《国家政策性粮食仓储合同》约定取消委托。中储粮总公司分支机构负责将上述非直属库剩余库存移库，承储库是具备中央储备粮代储资格非直属库的，由国家粮食行政管理部门取消其代储资格。</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第十二条  承储库应当履行以下出库义务：</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（一）配合买方检验货物，买方自购销合同生效之日起，可到承储库挂拍仓房查验货物，承储库经与粮食批发市场核实购销合同后，应当予以配合。</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（二）严格按照购销合同规定的品种、数量、质量、交货时间出库。除不可抗力原因并经粮食批发市场会同中储粮总公司分支机构核实外，不得以任何借口拖延、阻挠出库。</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（三）公示并严格执行国家规定的出库费用标准，不得自立收费项目、自定收费标准，也不得向买方收取其他任何费用。</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（四）接受粮食行政管理部门的监督检查，按要求报告出库进度过程中的问题。</w:t>
            </w:r>
          </w:p>
        </w:tc>
        <w:tc>
          <w:tcPr>
            <w:tcW w:w="88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自治区</w:t>
            </w:r>
          </w:p>
        </w:tc>
        <w:tc>
          <w:tcPr>
            <w:tcW w:w="2357" w:type="dxa"/>
            <w:shd w:val="clear" w:color="auto" w:fill="auto"/>
            <w:vAlign w:val="center"/>
          </w:tcPr>
          <w:p w:rsidR="00074F4C" w:rsidRPr="00074F4C" w:rsidRDefault="00074F4C">
            <w:pPr>
              <w:widowControl/>
              <w:spacing w:line="260" w:lineRule="exact"/>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区级承储库</w:t>
            </w:r>
          </w:p>
        </w:tc>
      </w:tr>
      <w:tr w:rsidR="00074F4C" w:rsidRPr="00074F4C" w:rsidTr="004A22D1">
        <w:trPr>
          <w:trHeight w:val="680"/>
        </w:trPr>
        <w:tc>
          <w:tcPr>
            <w:tcW w:w="474" w:type="dxa"/>
            <w:shd w:val="clear" w:color="auto" w:fill="auto"/>
            <w:vAlign w:val="center"/>
          </w:tcPr>
          <w:p w:rsidR="00074F4C" w:rsidRPr="00074F4C" w:rsidRDefault="004A22D1">
            <w:pPr>
              <w:widowControl/>
              <w:spacing w:line="260" w:lineRule="exact"/>
              <w:jc w:val="center"/>
              <w:textAlignment w:val="center"/>
              <w:rPr>
                <w:rFonts w:ascii="仿宋_GB2312" w:eastAsia="仿宋_GB2312" w:hAnsi="Times New Roman" w:cs="Times New Roman"/>
                <w:color w:val="000000"/>
                <w:kern w:val="0"/>
                <w:szCs w:val="21"/>
              </w:rPr>
            </w:pPr>
            <w:r>
              <w:rPr>
                <w:rFonts w:ascii="仿宋_GB2312" w:eastAsia="仿宋_GB2312" w:hAnsi="Times New Roman" w:cs="Times New Roman"/>
                <w:color w:val="000000"/>
                <w:kern w:val="0"/>
                <w:szCs w:val="21"/>
              </w:rPr>
              <w:t>2</w:t>
            </w:r>
          </w:p>
        </w:tc>
        <w:tc>
          <w:tcPr>
            <w:tcW w:w="1474" w:type="dxa"/>
            <w:shd w:val="clear" w:color="auto" w:fill="auto"/>
            <w:vAlign w:val="center"/>
          </w:tcPr>
          <w:p w:rsidR="00074F4C" w:rsidRPr="00074F4C" w:rsidRDefault="00074F4C" w:rsidP="00074F4C">
            <w:pPr>
              <w:widowControl/>
              <w:spacing w:line="260" w:lineRule="exac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对粮食收购买方出库过程的处罚</w:t>
            </w:r>
          </w:p>
        </w:tc>
        <w:tc>
          <w:tcPr>
            <w:tcW w:w="658" w:type="dxa"/>
            <w:shd w:val="clear" w:color="auto" w:fill="auto"/>
            <w:vAlign w:val="center"/>
          </w:tcPr>
          <w:p w:rsidR="00074F4C" w:rsidRPr="00074F4C" w:rsidRDefault="00074F4C">
            <w:pPr>
              <w:spacing w:line="260" w:lineRule="exact"/>
              <w:jc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szCs w:val="21"/>
              </w:rPr>
              <w:t>0235005000</w:t>
            </w:r>
          </w:p>
        </w:tc>
        <w:tc>
          <w:tcPr>
            <w:tcW w:w="54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粮食行政管理部门</w:t>
            </w:r>
          </w:p>
        </w:tc>
        <w:tc>
          <w:tcPr>
            <w:tcW w:w="7555" w:type="dxa"/>
            <w:shd w:val="clear" w:color="auto" w:fill="auto"/>
            <w:vAlign w:val="center"/>
          </w:tcPr>
          <w:p w:rsidR="00074F4C" w:rsidRPr="00074F4C" w:rsidRDefault="00074F4C" w:rsidP="001C4B5D">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【规范性文件】《国家政策性粮食出库管理暂行办法》(发改经贸〔2012〕1520号)</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第二十一条  买方存在本办法第十四条第一款规定情形的，由粮食行政管理部门责令改正，予以警告，可以处20万元以下的罚款；情节严重的，由粮食行政管理部门暂停或者取消粮食收购资格。</w:t>
            </w:r>
          </w:p>
          <w:p w:rsidR="00074F4C" w:rsidRPr="00074F4C" w:rsidRDefault="00074F4C">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第十四条  国家政策性粮食出库纠纷，由粮食批发市场根据交易细则自收到投诉之日起在10个工作日内先行协调处理，买方和承储库拒不执行交明细则，拒不按照国家规定进行增扣量，故意拖延导致出库纠纷的，由粮食批发市场扣除履约保证金，暂停或取消其交易资格，并列入粮食批发市场诚信黑名单。</w:t>
            </w:r>
          </w:p>
        </w:tc>
        <w:tc>
          <w:tcPr>
            <w:tcW w:w="88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自治区</w:t>
            </w:r>
          </w:p>
        </w:tc>
        <w:tc>
          <w:tcPr>
            <w:tcW w:w="2357" w:type="dxa"/>
            <w:shd w:val="clear" w:color="auto" w:fill="auto"/>
            <w:vAlign w:val="center"/>
          </w:tcPr>
          <w:p w:rsidR="00074F4C" w:rsidRPr="00074F4C" w:rsidRDefault="00074F4C">
            <w:pPr>
              <w:widowControl/>
              <w:spacing w:line="260" w:lineRule="exact"/>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区级承储库及粮食经营者</w:t>
            </w:r>
          </w:p>
        </w:tc>
      </w:tr>
      <w:tr w:rsidR="00074F4C" w:rsidRPr="00074F4C" w:rsidTr="004A22D1">
        <w:trPr>
          <w:trHeight w:val="1070"/>
        </w:trPr>
        <w:tc>
          <w:tcPr>
            <w:tcW w:w="474" w:type="dxa"/>
            <w:shd w:val="clear" w:color="auto" w:fill="auto"/>
            <w:vAlign w:val="center"/>
          </w:tcPr>
          <w:p w:rsidR="00074F4C" w:rsidRPr="00074F4C" w:rsidRDefault="004A22D1" w:rsidP="00DB2325">
            <w:pPr>
              <w:widowControl/>
              <w:spacing w:line="260" w:lineRule="exact"/>
              <w:jc w:val="center"/>
              <w:textAlignment w:val="center"/>
              <w:rPr>
                <w:rFonts w:ascii="仿宋_GB2312" w:eastAsia="仿宋_GB2312" w:hAnsi="Times New Roman" w:cs="Times New Roman"/>
                <w:color w:val="000000"/>
                <w:kern w:val="0"/>
                <w:szCs w:val="21"/>
              </w:rPr>
            </w:pPr>
            <w:r>
              <w:rPr>
                <w:rFonts w:ascii="仿宋_GB2312" w:eastAsia="仿宋_GB2312" w:hAnsi="Times New Roman" w:cs="Times New Roman"/>
                <w:color w:val="000000"/>
                <w:kern w:val="0"/>
                <w:szCs w:val="21"/>
              </w:rPr>
              <w:lastRenderedPageBreak/>
              <w:t>3</w:t>
            </w:r>
          </w:p>
        </w:tc>
        <w:tc>
          <w:tcPr>
            <w:tcW w:w="1474" w:type="dxa"/>
            <w:shd w:val="clear" w:color="auto" w:fill="auto"/>
            <w:vAlign w:val="center"/>
          </w:tcPr>
          <w:p w:rsidR="00074F4C" w:rsidRPr="00074F4C" w:rsidRDefault="00074F4C" w:rsidP="00074F4C">
            <w:pPr>
              <w:widowControl/>
              <w:spacing w:line="260" w:lineRule="exact"/>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对自治区储备粮（原粮、成品粮和食用油）未实行专仓储存、专人保管、专账记载等行为的处罚</w:t>
            </w:r>
          </w:p>
        </w:tc>
        <w:tc>
          <w:tcPr>
            <w:tcW w:w="658" w:type="dxa"/>
            <w:shd w:val="clear" w:color="auto" w:fill="auto"/>
            <w:vAlign w:val="center"/>
          </w:tcPr>
          <w:p w:rsidR="00074F4C" w:rsidRPr="00074F4C" w:rsidRDefault="00074F4C">
            <w:pPr>
              <w:spacing w:line="260" w:lineRule="exact"/>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szCs w:val="21"/>
              </w:rPr>
              <w:t>0235009000</w:t>
            </w:r>
          </w:p>
        </w:tc>
        <w:tc>
          <w:tcPr>
            <w:tcW w:w="54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粮食行政管理部门</w:t>
            </w:r>
          </w:p>
        </w:tc>
        <w:tc>
          <w:tcPr>
            <w:tcW w:w="7555" w:type="dxa"/>
            <w:shd w:val="clear" w:color="auto" w:fill="auto"/>
            <w:vAlign w:val="center"/>
          </w:tcPr>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【地方性法规】《宁夏回族自治区地方储备粮管理条例》(2015年修改)</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第四十八条  承储企业违反本条例规定，有下列行为之一的，由粮食管理部门责令限期改正，可以处以一万元以上五万元以下的罚款：</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（一）对自治区储备粮未实行专仓储存、专人保管、专账记载的；</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（二）储存的自治区储备粮账账不符、账实不符的；</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（三）违反自治区储备粮储存费用等补贴和维修资金使用规定的；</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（四）擅自串换储备粮品种或者变更储存地点的；</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（五）发现储备粮的数量、质量和储存安全问题不及时处理，或者不及时报告的；</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（六）以储备粮进行担保或者清偿债务的。</w:t>
            </w:r>
          </w:p>
          <w:p w:rsidR="00074F4C" w:rsidRPr="00074F4C" w:rsidRDefault="00074F4C" w:rsidP="00DB2325">
            <w:pPr>
              <w:widowControl/>
              <w:spacing w:line="260" w:lineRule="exact"/>
              <w:ind w:firstLineChars="200" w:firstLine="420"/>
              <w:jc w:val="left"/>
              <w:textAlignment w:val="center"/>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第五十一条  承储企业违反本条例规定，有上述行为的，由认定其储存企业资格的粮食管理部门取消其储存企业资格。对国有粮食承储企业直接负责的主管人员和其他直接责任人员给予处分；构成犯罪的，依法追究刑事责任。</w:t>
            </w:r>
          </w:p>
        </w:tc>
        <w:tc>
          <w:tcPr>
            <w:tcW w:w="88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自治区</w:t>
            </w:r>
          </w:p>
        </w:tc>
        <w:tc>
          <w:tcPr>
            <w:tcW w:w="2357" w:type="dxa"/>
            <w:shd w:val="clear" w:color="auto" w:fill="auto"/>
            <w:vAlign w:val="center"/>
          </w:tcPr>
          <w:p w:rsidR="00074F4C" w:rsidRPr="00074F4C" w:rsidRDefault="00074F4C">
            <w:pPr>
              <w:widowControl/>
              <w:spacing w:line="260" w:lineRule="exact"/>
              <w:jc w:val="left"/>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自治区储备粮承储企业</w:t>
            </w:r>
          </w:p>
        </w:tc>
      </w:tr>
      <w:tr w:rsidR="00074F4C" w:rsidRPr="00074F4C" w:rsidTr="004A22D1">
        <w:trPr>
          <w:trHeight w:val="987"/>
        </w:trPr>
        <w:tc>
          <w:tcPr>
            <w:tcW w:w="474" w:type="dxa"/>
            <w:shd w:val="clear" w:color="auto" w:fill="auto"/>
            <w:vAlign w:val="center"/>
          </w:tcPr>
          <w:p w:rsidR="00074F4C" w:rsidRPr="00074F4C" w:rsidRDefault="004A22D1">
            <w:pPr>
              <w:widowControl/>
              <w:spacing w:line="260" w:lineRule="exact"/>
              <w:jc w:val="center"/>
              <w:textAlignment w:val="center"/>
              <w:rPr>
                <w:rFonts w:ascii="仿宋_GB2312" w:eastAsia="仿宋_GB2312" w:hAnsi="Times New Roman" w:cs="Times New Roman"/>
                <w:color w:val="000000"/>
                <w:szCs w:val="21"/>
              </w:rPr>
            </w:pPr>
            <w:r>
              <w:rPr>
                <w:rFonts w:ascii="仿宋_GB2312" w:eastAsia="仿宋_GB2312" w:hAnsi="Times New Roman" w:cs="Times New Roman"/>
                <w:color w:val="000000"/>
                <w:kern w:val="0"/>
                <w:szCs w:val="21"/>
              </w:rPr>
              <w:t>4</w:t>
            </w:r>
          </w:p>
        </w:tc>
        <w:tc>
          <w:tcPr>
            <w:tcW w:w="1474" w:type="dxa"/>
            <w:shd w:val="clear" w:color="auto" w:fill="auto"/>
            <w:vAlign w:val="center"/>
          </w:tcPr>
          <w:p w:rsidR="00074F4C" w:rsidRPr="00074F4C" w:rsidRDefault="00074F4C" w:rsidP="00074F4C">
            <w:pPr>
              <w:widowControl/>
              <w:spacing w:line="260" w:lineRule="exact"/>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虚报、瞒报储备粮（原粮、成品粮和食用油）数量等行为的处罚</w:t>
            </w:r>
          </w:p>
        </w:tc>
        <w:tc>
          <w:tcPr>
            <w:tcW w:w="658" w:type="dxa"/>
            <w:shd w:val="clear" w:color="auto" w:fill="auto"/>
            <w:vAlign w:val="center"/>
          </w:tcPr>
          <w:p w:rsidR="00074F4C" w:rsidRPr="00074F4C" w:rsidRDefault="00074F4C">
            <w:pPr>
              <w:spacing w:line="260" w:lineRule="exact"/>
              <w:jc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szCs w:val="21"/>
              </w:rPr>
              <w:t>0235010000</w:t>
            </w:r>
          </w:p>
        </w:tc>
        <w:tc>
          <w:tcPr>
            <w:tcW w:w="54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粮食行政管理部门</w:t>
            </w:r>
          </w:p>
        </w:tc>
        <w:tc>
          <w:tcPr>
            <w:tcW w:w="7555" w:type="dxa"/>
            <w:shd w:val="clear" w:color="auto" w:fill="auto"/>
            <w:vAlign w:val="center"/>
          </w:tcPr>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【地方性法规】《宁夏回族自治区地方储备粮管理条例》(2015年修改)</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第四十九条  承储企业违反本条例规定，有下列行为之一的，由粮食管理部门责令限期改正，处以一万元以上十万元以下的罚款：</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（一）虚报、瞒报储备粮数量的；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（二）在储备粮中新陈混掺、掺杂使假、以次充好的；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（三）入库的储备粮不符合国家和自治区规定的质量等级和标准要求的；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（四）造成储备粮品质劣变、霉变的；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（五）拒不执行或者擅自改变应急动用命令的；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（六）擅自动用储备粮的；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（七）拒不执行或者擅自改变自治区储备粮收购、年度轮换计划的。</w:t>
            </w:r>
          </w:p>
          <w:p w:rsidR="00074F4C" w:rsidRPr="00074F4C" w:rsidRDefault="00074F4C">
            <w:pPr>
              <w:pStyle w:val="a3"/>
              <w:spacing w:line="260" w:lineRule="exact"/>
              <w:ind w:firstLineChars="200" w:firstLine="420"/>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第五十一条 承储企业违反本条例规定，有第四十八条、第四十九条、第五十条行为之一的，由认定其储存企业资格的粮食管理部门取消其储存企业资格。对国有粮食承储企业直接负责的主管人员和其他直接责任人员给予处分；构成犯罪的，依法追究刑事责任。</w:t>
            </w:r>
          </w:p>
        </w:tc>
        <w:tc>
          <w:tcPr>
            <w:tcW w:w="88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自治区</w:t>
            </w:r>
          </w:p>
        </w:tc>
        <w:tc>
          <w:tcPr>
            <w:tcW w:w="2357" w:type="dxa"/>
            <w:shd w:val="clear" w:color="auto" w:fill="auto"/>
            <w:vAlign w:val="center"/>
          </w:tcPr>
          <w:p w:rsidR="00074F4C" w:rsidRPr="00074F4C" w:rsidRDefault="00074F4C">
            <w:pPr>
              <w:widowControl/>
              <w:spacing w:line="260" w:lineRule="exact"/>
              <w:jc w:val="left"/>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自治区储备粮承储企业</w:t>
            </w:r>
          </w:p>
        </w:tc>
      </w:tr>
      <w:tr w:rsidR="00074F4C" w:rsidRPr="00074F4C" w:rsidTr="004A22D1">
        <w:trPr>
          <w:trHeight w:val="1127"/>
        </w:trPr>
        <w:tc>
          <w:tcPr>
            <w:tcW w:w="474" w:type="dxa"/>
            <w:shd w:val="clear" w:color="auto" w:fill="auto"/>
            <w:vAlign w:val="center"/>
          </w:tcPr>
          <w:p w:rsidR="00074F4C" w:rsidRPr="00074F4C" w:rsidRDefault="004A22D1">
            <w:pPr>
              <w:widowControl/>
              <w:spacing w:line="260" w:lineRule="exact"/>
              <w:jc w:val="center"/>
              <w:textAlignment w:val="center"/>
              <w:rPr>
                <w:rFonts w:ascii="仿宋_GB2312" w:eastAsia="仿宋_GB2312" w:hAnsi="Times New Roman" w:cs="Times New Roman"/>
                <w:color w:val="000000"/>
                <w:szCs w:val="21"/>
              </w:rPr>
            </w:pPr>
            <w:r>
              <w:rPr>
                <w:rFonts w:ascii="仿宋_GB2312" w:eastAsia="仿宋_GB2312" w:hAnsi="Times New Roman" w:cs="Times New Roman"/>
                <w:color w:val="000000"/>
                <w:szCs w:val="21"/>
              </w:rPr>
              <w:t>5</w:t>
            </w:r>
          </w:p>
        </w:tc>
        <w:tc>
          <w:tcPr>
            <w:tcW w:w="1474" w:type="dxa"/>
            <w:shd w:val="clear" w:color="auto" w:fill="auto"/>
            <w:vAlign w:val="center"/>
          </w:tcPr>
          <w:p w:rsidR="00074F4C" w:rsidRPr="00074F4C" w:rsidRDefault="00074F4C" w:rsidP="00074F4C">
            <w:pPr>
              <w:widowControl/>
              <w:spacing w:line="260" w:lineRule="exact"/>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对低价购进高价入账、高价售出低价入账、以陈粮（原粮、成品粮和食用油）</w:t>
            </w:r>
            <w:r w:rsidRPr="00074F4C">
              <w:rPr>
                <w:rFonts w:ascii="仿宋_GB2312" w:eastAsia="仿宋_GB2312" w:hAnsi="Times New Roman" w:cs="Times New Roman" w:hint="eastAsia"/>
                <w:color w:val="000000"/>
                <w:kern w:val="0"/>
                <w:szCs w:val="21"/>
              </w:rPr>
              <w:lastRenderedPageBreak/>
              <w:t>顶替新粮、虚增入库成本等行为的处罚</w:t>
            </w:r>
          </w:p>
        </w:tc>
        <w:tc>
          <w:tcPr>
            <w:tcW w:w="658" w:type="dxa"/>
            <w:shd w:val="clear" w:color="auto" w:fill="auto"/>
            <w:vAlign w:val="center"/>
          </w:tcPr>
          <w:p w:rsidR="00074F4C" w:rsidRPr="00074F4C" w:rsidRDefault="00074F4C">
            <w:pPr>
              <w:spacing w:line="260" w:lineRule="exact"/>
              <w:jc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szCs w:val="21"/>
              </w:rPr>
              <w:lastRenderedPageBreak/>
              <w:t>0235011000</w:t>
            </w:r>
          </w:p>
        </w:tc>
        <w:tc>
          <w:tcPr>
            <w:tcW w:w="54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粮食行政管理部门</w:t>
            </w:r>
          </w:p>
        </w:tc>
        <w:tc>
          <w:tcPr>
            <w:tcW w:w="7555" w:type="dxa"/>
            <w:shd w:val="clear" w:color="auto" w:fill="auto"/>
            <w:vAlign w:val="center"/>
          </w:tcPr>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【地方性法规】《宁夏回族自治区地方储备粮管理条例》(2015年修改)</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第五十条  承储企业违反本条例规定，有下列行为之一的，由粮食管理部门或者财政部门按照职责责令限期改正，追回被骗取的储备粮贷款和贷款利息、费用等财政补贴，处以一万元以上三万元以下的罚款：</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（一）低价购进高价入账、高价售出低价入账、以陈粮顶替新粮、虚增入库成</w:t>
            </w:r>
            <w:r w:rsidRPr="00074F4C">
              <w:rPr>
                <w:rFonts w:ascii="仿宋_GB2312" w:eastAsia="仿宋_GB2312" w:hAnsi="Times New Roman" w:cs="Times New Roman" w:hint="eastAsia"/>
                <w:color w:val="000000"/>
                <w:kern w:val="0"/>
                <w:szCs w:val="21"/>
              </w:rPr>
              <w:lastRenderedPageBreak/>
              <w:t>本的；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（二）弄虚作假套取差价，骗取储备粮贷款和贷款利息、储存费用等财政补贴的；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（三）挤占、截留、挪用自治区储备粮贷款和贷款利息、管理费用等财政补贴的；</w:t>
            </w:r>
          </w:p>
          <w:p w:rsidR="00074F4C" w:rsidRPr="00074F4C" w:rsidRDefault="00074F4C">
            <w:pPr>
              <w:pStyle w:val="a3"/>
              <w:spacing w:line="260" w:lineRule="exact"/>
              <w:ind w:firstLineChars="200" w:firstLine="420"/>
              <w:rPr>
                <w:rFonts w:ascii="仿宋_GB2312" w:eastAsia="仿宋_GB2312" w:hAnsi="Times New Roman" w:cs="Times New Roman"/>
                <w:color w:val="000000"/>
                <w:kern w:val="0"/>
                <w:szCs w:val="21"/>
              </w:rPr>
            </w:pPr>
            <w:r w:rsidRPr="00074F4C">
              <w:rPr>
                <w:rFonts w:ascii="仿宋_GB2312" w:eastAsia="仿宋_GB2312" w:hAnsi="Times New Roman" w:cs="Times New Roman" w:hint="eastAsia"/>
                <w:color w:val="000000"/>
                <w:kern w:val="0"/>
                <w:szCs w:val="21"/>
              </w:rPr>
              <w:t>（四）擅自更改自治区储备粮入库成本的。</w:t>
            </w:r>
          </w:p>
          <w:p w:rsidR="00074F4C" w:rsidRPr="00074F4C" w:rsidRDefault="00074F4C">
            <w:pPr>
              <w:pStyle w:val="a3"/>
              <w:spacing w:line="260" w:lineRule="exact"/>
              <w:ind w:firstLineChars="200" w:firstLine="420"/>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第五十一条 承储企业违反本条例规定，有第四十八条、第四十九条、第五十条行为之一的，由认定其储存企业资格的粮食管理部门取消其储存企业资格。对国有粮食承储企业直接负责的主管人员和其他直接责任人员给予处分；构成犯罪的，依法追究刑事责任。</w:t>
            </w:r>
          </w:p>
        </w:tc>
        <w:tc>
          <w:tcPr>
            <w:tcW w:w="885" w:type="dxa"/>
            <w:shd w:val="clear" w:color="auto" w:fill="auto"/>
            <w:vAlign w:val="center"/>
          </w:tcPr>
          <w:p w:rsidR="00074F4C" w:rsidRPr="00074F4C" w:rsidRDefault="00074F4C">
            <w:pPr>
              <w:widowControl/>
              <w:spacing w:line="260" w:lineRule="exact"/>
              <w:jc w:val="center"/>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lastRenderedPageBreak/>
              <w:t>自治区</w:t>
            </w:r>
          </w:p>
        </w:tc>
        <w:tc>
          <w:tcPr>
            <w:tcW w:w="2357" w:type="dxa"/>
            <w:shd w:val="clear" w:color="auto" w:fill="auto"/>
            <w:vAlign w:val="center"/>
          </w:tcPr>
          <w:p w:rsidR="00074F4C" w:rsidRPr="00074F4C" w:rsidRDefault="00074F4C">
            <w:pPr>
              <w:widowControl/>
              <w:spacing w:line="260" w:lineRule="exact"/>
              <w:jc w:val="left"/>
              <w:textAlignment w:val="center"/>
              <w:rPr>
                <w:rFonts w:ascii="仿宋_GB2312" w:eastAsia="仿宋_GB2312" w:hAnsi="Times New Roman" w:cs="Times New Roman"/>
                <w:color w:val="000000"/>
                <w:szCs w:val="21"/>
              </w:rPr>
            </w:pPr>
            <w:r w:rsidRPr="00074F4C">
              <w:rPr>
                <w:rFonts w:ascii="仿宋_GB2312" w:eastAsia="仿宋_GB2312" w:hAnsi="Times New Roman" w:cs="Times New Roman" w:hint="eastAsia"/>
                <w:color w:val="000000"/>
                <w:kern w:val="0"/>
                <w:szCs w:val="21"/>
              </w:rPr>
              <w:t>自治区储备粮承储企业</w:t>
            </w:r>
          </w:p>
        </w:tc>
      </w:tr>
    </w:tbl>
    <w:p w:rsidR="008E3900" w:rsidRPr="00074F4C" w:rsidRDefault="006E276E" w:rsidP="008E3900">
      <w:pPr>
        <w:jc w:val="center"/>
        <w:rPr>
          <w:rFonts w:ascii="楷体_GB2312" w:eastAsia="楷体_GB2312" w:hAnsi="黑体" w:cs="黑体"/>
          <w:b/>
          <w:sz w:val="32"/>
          <w:szCs w:val="32"/>
        </w:rPr>
      </w:pPr>
      <w:r>
        <w:lastRenderedPageBreak/>
        <w:br w:type="page"/>
      </w:r>
      <w:r w:rsidR="008E3900">
        <w:rPr>
          <w:rFonts w:ascii="楷体_GB2312" w:eastAsia="楷体_GB2312" w:hAnsi="等线" w:cs="等线" w:hint="eastAsia"/>
          <w:b/>
          <w:color w:val="000000"/>
          <w:kern w:val="0"/>
          <w:sz w:val="32"/>
          <w:szCs w:val="32"/>
        </w:rPr>
        <w:lastRenderedPageBreak/>
        <w:t>三</w:t>
      </w:r>
      <w:r w:rsidR="008E3900" w:rsidRPr="00074F4C">
        <w:rPr>
          <w:rFonts w:ascii="楷体_GB2312" w:eastAsia="楷体_GB2312" w:hAnsi="等线" w:cs="等线" w:hint="eastAsia"/>
          <w:b/>
          <w:color w:val="000000"/>
          <w:kern w:val="0"/>
          <w:sz w:val="32"/>
          <w:szCs w:val="32"/>
        </w:rPr>
        <w:t>、</w:t>
      </w:r>
      <w:r w:rsidR="008E3900" w:rsidRPr="00074F4C">
        <w:rPr>
          <w:rFonts w:ascii="楷体_GB2312" w:eastAsia="楷体_GB2312" w:hAnsi="等线" w:cs="等线"/>
          <w:b/>
          <w:color w:val="000000"/>
          <w:kern w:val="0"/>
          <w:sz w:val="32"/>
          <w:szCs w:val="32"/>
        </w:rPr>
        <w:t>行政</w:t>
      </w:r>
      <w:r w:rsidR="008E3900">
        <w:rPr>
          <w:rFonts w:ascii="楷体_GB2312" w:eastAsia="楷体_GB2312" w:hAnsi="等线" w:cs="等线" w:hint="eastAsia"/>
          <w:b/>
          <w:color w:val="000000"/>
          <w:kern w:val="0"/>
          <w:sz w:val="32"/>
          <w:szCs w:val="32"/>
        </w:rPr>
        <w:t>检查</w:t>
      </w:r>
    </w:p>
    <w:tbl>
      <w:tblPr>
        <w:tblW w:w="13948" w:type="dxa"/>
        <w:tblLayout w:type="fixed"/>
        <w:tblCellMar>
          <w:top w:w="15" w:type="dxa"/>
          <w:left w:w="15" w:type="dxa"/>
          <w:bottom w:w="15" w:type="dxa"/>
          <w:right w:w="15" w:type="dxa"/>
        </w:tblCellMar>
        <w:tblLook w:val="04A0" w:firstRow="1" w:lastRow="0" w:firstColumn="1" w:lastColumn="0" w:noHBand="0" w:noVBand="1"/>
      </w:tblPr>
      <w:tblGrid>
        <w:gridCol w:w="486"/>
        <w:gridCol w:w="1510"/>
        <w:gridCol w:w="657"/>
        <w:gridCol w:w="589"/>
        <w:gridCol w:w="8093"/>
        <w:gridCol w:w="993"/>
        <w:gridCol w:w="1620"/>
      </w:tblGrid>
      <w:tr w:rsidR="00074F4C" w:rsidRPr="008E3900" w:rsidTr="008E3900">
        <w:trPr>
          <w:trHeight w:val="462"/>
          <w:tblHeader/>
        </w:trPr>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序号</w:t>
            </w: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职权名称</w:t>
            </w:r>
          </w:p>
        </w:tc>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基本编码</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实施部门</w:t>
            </w:r>
          </w:p>
        </w:tc>
        <w:tc>
          <w:tcPr>
            <w:tcW w:w="8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职权依据</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kern w:val="0"/>
                <w:szCs w:val="21"/>
              </w:rPr>
            </w:pPr>
            <w:r w:rsidRPr="008E3900">
              <w:rPr>
                <w:rFonts w:ascii="仿宋_GB2312" w:eastAsia="仿宋_GB2312" w:hAnsi="等线" w:cs="等线" w:hint="eastAsia"/>
                <w:b/>
                <w:color w:val="000000"/>
                <w:kern w:val="0"/>
                <w:szCs w:val="21"/>
              </w:rPr>
              <w:t>行使</w:t>
            </w:r>
          </w:p>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层级</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b/>
                <w:color w:val="000000"/>
                <w:szCs w:val="21"/>
              </w:rPr>
            </w:pPr>
            <w:r w:rsidRPr="008E3900">
              <w:rPr>
                <w:rFonts w:ascii="仿宋_GB2312" w:eastAsia="仿宋_GB2312" w:hAnsi="等线" w:cs="等线" w:hint="eastAsia"/>
                <w:b/>
                <w:color w:val="000000"/>
                <w:kern w:val="0"/>
                <w:szCs w:val="21"/>
              </w:rPr>
              <w:t>行使内容</w:t>
            </w:r>
          </w:p>
        </w:tc>
      </w:tr>
      <w:tr w:rsidR="00074F4C" w:rsidRPr="008E3900" w:rsidTr="008E3900">
        <w:trPr>
          <w:trHeight w:val="680"/>
        </w:trPr>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1</w:t>
            </w: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储备粮（原粮、成品粮和食用油）管理情况监督检查</w:t>
            </w:r>
          </w:p>
        </w:tc>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spacing w:line="260" w:lineRule="exact"/>
              <w:jc w:val="center"/>
              <w:rPr>
                <w:rFonts w:ascii="仿宋_GB2312" w:eastAsia="仿宋_GB2312" w:hAnsi="等线" w:cs="等线"/>
                <w:color w:val="000000"/>
                <w:szCs w:val="21"/>
              </w:rPr>
            </w:pPr>
            <w:r w:rsidRPr="008E3900">
              <w:rPr>
                <w:rFonts w:ascii="仿宋_GB2312" w:eastAsia="仿宋_GB2312" w:hAnsi="等线" w:cs="等线" w:hint="eastAsia"/>
                <w:color w:val="000000"/>
                <w:szCs w:val="21"/>
              </w:rPr>
              <w:t>0635001000</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粮食行政管理部门</w:t>
            </w:r>
          </w:p>
        </w:tc>
        <w:tc>
          <w:tcPr>
            <w:tcW w:w="8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kern w:val="0"/>
                <w:szCs w:val="21"/>
              </w:rPr>
            </w:pPr>
            <w:r w:rsidRPr="008E3900">
              <w:rPr>
                <w:rFonts w:ascii="仿宋_GB2312" w:eastAsia="仿宋_GB2312" w:hAnsi="等线" w:cs="等线" w:hint="eastAsia"/>
                <w:color w:val="000000"/>
                <w:kern w:val="0"/>
                <w:szCs w:val="21"/>
              </w:rPr>
              <w:t>【地方性法规】《宁夏回族自治区地方储备粮管理条例》(2015年修改)</w:t>
            </w:r>
          </w:p>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kern w:val="0"/>
                <w:szCs w:val="21"/>
              </w:rPr>
            </w:pPr>
            <w:r w:rsidRPr="008E3900">
              <w:rPr>
                <w:rFonts w:ascii="仿宋_GB2312" w:eastAsia="仿宋_GB2312" w:hAnsi="等线" w:cs="等线" w:hint="eastAsia"/>
                <w:color w:val="000000"/>
                <w:kern w:val="0"/>
                <w:szCs w:val="21"/>
              </w:rPr>
              <w:t>第四十一条  粮食管理、财政等部门应当按照各自职责，依法对储备粮的储存和轮换情况进行监督检查，并对违法行为进行查处。储备粮数量、质量、储存安全不符合规定的，粮食管理部门应当责令承储企业立即纠正。承储企业丧失储存条件的，粮食管理部门应当取消其储存企业资格。</w:t>
            </w:r>
          </w:p>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kern w:val="0"/>
                <w:szCs w:val="21"/>
              </w:rPr>
            </w:pPr>
            <w:r w:rsidRPr="008E3900">
              <w:rPr>
                <w:rFonts w:ascii="仿宋_GB2312" w:eastAsia="仿宋_GB2312" w:hAnsi="等线" w:cs="等线" w:hint="eastAsia"/>
                <w:color w:val="000000"/>
                <w:kern w:val="0"/>
                <w:szCs w:val="21"/>
              </w:rPr>
              <w:t>第四十二条  粮食管理部门对从事粮食收购、加工、销售的经营者依法进行监督检查，督促其保持必要的安全库存或者合理周转库存。</w:t>
            </w:r>
          </w:p>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第四十六条  任何单位和个人对储备粮经营管理中的违法行为，均有权向粮食管理等有关部门举报。粮食管理等有关部门接到举报后，应当及时查处；举报事项属于其他部门职责范围的，应当及时移送有关部门处理。</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自治区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left"/>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自治区储备粮承储企业</w:t>
            </w:r>
          </w:p>
        </w:tc>
      </w:tr>
      <w:tr w:rsidR="00074F4C" w:rsidRPr="008E3900" w:rsidTr="008E3900">
        <w:trPr>
          <w:trHeight w:val="768"/>
        </w:trPr>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4A22D1" w:rsidP="008E3900">
            <w:pPr>
              <w:widowControl/>
              <w:spacing w:line="260" w:lineRule="exact"/>
              <w:jc w:val="center"/>
              <w:textAlignment w:val="center"/>
              <w:rPr>
                <w:rFonts w:ascii="仿宋_GB2312" w:eastAsia="仿宋_GB2312" w:hAnsi="等线" w:cs="等线"/>
                <w:color w:val="000000"/>
                <w:szCs w:val="21"/>
              </w:rPr>
            </w:pPr>
            <w:r>
              <w:rPr>
                <w:rFonts w:ascii="仿宋_GB2312" w:eastAsia="仿宋_GB2312" w:hAnsi="等线" w:cs="等线"/>
                <w:color w:val="000000"/>
                <w:kern w:val="0"/>
                <w:szCs w:val="21"/>
              </w:rPr>
              <w:t>2</w:t>
            </w: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国家政策性粮食出库监管</w:t>
            </w:r>
          </w:p>
        </w:tc>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spacing w:line="260" w:lineRule="exact"/>
              <w:jc w:val="center"/>
              <w:rPr>
                <w:rFonts w:ascii="仿宋_GB2312" w:eastAsia="仿宋_GB2312" w:hAnsi="等线" w:cs="等线"/>
                <w:color w:val="000000"/>
                <w:szCs w:val="21"/>
              </w:rPr>
            </w:pPr>
            <w:r w:rsidRPr="008E3900">
              <w:rPr>
                <w:rFonts w:ascii="仿宋_GB2312" w:eastAsia="仿宋_GB2312" w:hAnsi="等线" w:cs="等线" w:hint="eastAsia"/>
                <w:color w:val="000000"/>
                <w:szCs w:val="21"/>
              </w:rPr>
              <w:t>0635003000</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粮食行政管理部门</w:t>
            </w:r>
          </w:p>
        </w:tc>
        <w:tc>
          <w:tcPr>
            <w:tcW w:w="8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kern w:val="0"/>
                <w:szCs w:val="21"/>
              </w:rPr>
            </w:pPr>
            <w:r w:rsidRPr="008E3900">
              <w:rPr>
                <w:rFonts w:ascii="仿宋_GB2312" w:eastAsia="仿宋_GB2312" w:hAnsi="等线" w:cs="等线" w:hint="eastAsia"/>
                <w:color w:val="000000"/>
                <w:kern w:val="0"/>
                <w:szCs w:val="21"/>
              </w:rPr>
              <w:t>【规范性文件】国家发展改革委 国家粮食局《关于印发〈国家政策性粮食出库管理暂行办法〉的通知》(发改经贸〔2012〕1520号)</w:t>
            </w:r>
          </w:p>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kern w:val="0"/>
                <w:szCs w:val="21"/>
              </w:rPr>
            </w:pPr>
            <w:r w:rsidRPr="008E3900">
              <w:rPr>
                <w:rFonts w:ascii="仿宋_GB2312" w:eastAsia="仿宋_GB2312" w:hAnsi="等线" w:cs="等线" w:hint="eastAsia"/>
                <w:color w:val="000000"/>
                <w:kern w:val="0"/>
                <w:szCs w:val="21"/>
              </w:rPr>
              <w:t>第五条  国家粮食行政管理部门负责组织指导地方人民政府粮食行政管理部门对国家政策性粮食出库进行监督检查。县级以上地方人民政府粮食行政管理部门负责对本地区国家政策性粮食出库进行监督检查，依法查处出库中的违法违规行为，督促承储企库履行出库义务，并及时协调处理直属库移交的本地区非直属库出库纠纷。</w:t>
            </w:r>
          </w:p>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kern w:val="0"/>
                <w:szCs w:val="21"/>
              </w:rPr>
            </w:pPr>
            <w:r w:rsidRPr="008E3900">
              <w:rPr>
                <w:rFonts w:ascii="仿宋_GB2312" w:eastAsia="仿宋_GB2312" w:hAnsi="等线" w:cs="等线" w:hint="eastAsia"/>
                <w:color w:val="000000"/>
                <w:kern w:val="0"/>
                <w:szCs w:val="21"/>
              </w:rPr>
              <w:t>【规范性文件】国家发展改革委 国家粮食局 财政部等《关于进一步加强国家政策性粮食出库管理工作的通知》（国粮检〔2016〕12号）</w:t>
            </w:r>
          </w:p>
          <w:p w:rsidR="00074F4C" w:rsidRPr="008E3900" w:rsidRDefault="00074F4C" w:rsidP="008E3900">
            <w:pPr>
              <w:widowControl/>
              <w:spacing w:line="260" w:lineRule="exact"/>
              <w:ind w:firstLineChars="200" w:firstLine="420"/>
              <w:jc w:val="left"/>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（三）强化监督指导。市、县级粮食行政管理部门要会同中储粮直属库和农发行分支机构切实加强粮食出库管理，建立经常性巡查制度，及时受理投诉、协调纠纷，争取把各类问题解决在初始阶段。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center"/>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自治区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F4C" w:rsidRPr="008E3900" w:rsidRDefault="00074F4C" w:rsidP="008E3900">
            <w:pPr>
              <w:widowControl/>
              <w:spacing w:line="260" w:lineRule="exact"/>
              <w:jc w:val="left"/>
              <w:textAlignment w:val="center"/>
              <w:rPr>
                <w:rFonts w:ascii="仿宋_GB2312" w:eastAsia="仿宋_GB2312" w:hAnsi="等线" w:cs="等线"/>
                <w:color w:val="000000"/>
                <w:szCs w:val="21"/>
              </w:rPr>
            </w:pPr>
            <w:r w:rsidRPr="008E3900">
              <w:rPr>
                <w:rFonts w:ascii="仿宋_GB2312" w:eastAsia="仿宋_GB2312" w:hAnsi="等线" w:cs="等线" w:hint="eastAsia"/>
                <w:color w:val="000000"/>
                <w:kern w:val="0"/>
                <w:szCs w:val="21"/>
              </w:rPr>
              <w:t>自治区原粮承储企业</w:t>
            </w:r>
          </w:p>
        </w:tc>
      </w:tr>
    </w:tbl>
    <w:p w:rsidR="008E3900" w:rsidRDefault="008E3900">
      <w:pPr>
        <w:widowControl/>
        <w:jc w:val="left"/>
        <w:rPr>
          <w:rFonts w:ascii="Times New Roman" w:eastAsia="方正仿宋_GBK" w:hAnsi="Times New Roman" w:cs="Times New Roman"/>
          <w:sz w:val="32"/>
          <w:szCs w:val="32"/>
        </w:rPr>
      </w:pPr>
    </w:p>
    <w:sectPr w:rsidR="008E3900" w:rsidSect="00BD6D90">
      <w:footerReference w:type="default" r:id="rId7"/>
      <w:pgSz w:w="16838" w:h="11906" w:orient="landscape"/>
      <w:pgMar w:top="1417" w:right="1417" w:bottom="1417" w:left="1417" w:header="851" w:footer="737" w:gutter="0"/>
      <w:cols w:space="0"/>
      <w:docGrid w:type="lines" w:linePitch="3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906" w:rsidRDefault="00800906">
      <w:r>
        <w:separator/>
      </w:r>
    </w:p>
  </w:endnote>
  <w:endnote w:type="continuationSeparator" w:id="0">
    <w:p w:rsidR="00800906" w:rsidRDefault="0080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D42" w:rsidRPr="004A22D1" w:rsidRDefault="004A22D1" w:rsidP="004A22D1">
    <w:pPr>
      <w:pStyle w:val="a4"/>
      <w:ind w:firstLine="560"/>
      <w:jc w:val="center"/>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D56731" w:rsidRPr="00D56731">
      <w:rPr>
        <w:rFonts w:ascii="宋体" w:hAnsi="宋体"/>
        <w:noProof/>
        <w:sz w:val="28"/>
        <w:szCs w:val="28"/>
        <w:lang w:val="zh-CN"/>
      </w:rPr>
      <w:t>4</w:t>
    </w:r>
    <w:r>
      <w:rPr>
        <w:rFonts w:ascii="宋体" w:hAnsi="宋体"/>
        <w:sz w:val="28"/>
        <w:szCs w:val="28"/>
      </w:rPr>
      <w:fldChar w:fldCharType="end"/>
    </w:r>
    <w:r>
      <w:rPr>
        <w:rFonts w:ascii="宋体" w:hAnsi="宋体"/>
        <w:sz w:val="28"/>
        <w:szCs w:val="28"/>
        <w:lang w:val="zh-CN"/>
      </w:rPr>
      <w:t xml:space="preserve"> —</w:t>
    </w:r>
  </w:p>
  <w:p w:rsidR="00D55D42" w:rsidRDefault="00D55D4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906" w:rsidRDefault="00800906">
      <w:r>
        <w:separator/>
      </w:r>
    </w:p>
  </w:footnote>
  <w:footnote w:type="continuationSeparator" w:id="0">
    <w:p w:rsidR="00800906" w:rsidRDefault="00800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embedSystemFonts/>
  <w:bordersDoNotSurroundHeader/>
  <w:bordersDoNotSurroundFooter/>
  <w:defaultTabStop w:val="420"/>
  <w:drawingGridHorizontalSpacing w:val="105"/>
  <w:drawingGridVerticalSpacing w:val="162"/>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4E5673B"/>
    <w:rsid w:val="00074F4C"/>
    <w:rsid w:val="001A434E"/>
    <w:rsid w:val="001C4B5D"/>
    <w:rsid w:val="00244D1E"/>
    <w:rsid w:val="00244F8F"/>
    <w:rsid w:val="00315003"/>
    <w:rsid w:val="003F114D"/>
    <w:rsid w:val="00444EAE"/>
    <w:rsid w:val="004A22D1"/>
    <w:rsid w:val="004E7FDC"/>
    <w:rsid w:val="004F073C"/>
    <w:rsid w:val="0057156E"/>
    <w:rsid w:val="006E276E"/>
    <w:rsid w:val="00723E05"/>
    <w:rsid w:val="00747591"/>
    <w:rsid w:val="00751B45"/>
    <w:rsid w:val="007F615E"/>
    <w:rsid w:val="007F6E87"/>
    <w:rsid w:val="00800906"/>
    <w:rsid w:val="008E3900"/>
    <w:rsid w:val="00A16C9D"/>
    <w:rsid w:val="00BD6D90"/>
    <w:rsid w:val="00BF74D0"/>
    <w:rsid w:val="00CF0322"/>
    <w:rsid w:val="00D55D42"/>
    <w:rsid w:val="00D56731"/>
    <w:rsid w:val="00DB049A"/>
    <w:rsid w:val="00DB2325"/>
    <w:rsid w:val="04E5673B"/>
    <w:rsid w:val="1B843248"/>
    <w:rsid w:val="1DD403C1"/>
    <w:rsid w:val="1E6D75A4"/>
    <w:rsid w:val="21D54B6F"/>
    <w:rsid w:val="21F61F40"/>
    <w:rsid w:val="3DD72193"/>
    <w:rsid w:val="3F727AB6"/>
    <w:rsid w:val="40DC78D9"/>
    <w:rsid w:val="46362A28"/>
    <w:rsid w:val="4AFE1812"/>
    <w:rsid w:val="5A7A598C"/>
    <w:rsid w:val="5B60394B"/>
    <w:rsid w:val="6AFE68E4"/>
    <w:rsid w:val="6B485D37"/>
    <w:rsid w:val="701A45EE"/>
    <w:rsid w:val="7A0A5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B8B247F-7FB7-4D69-AAC9-FA771247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D9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BD6D90"/>
    <w:pPr>
      <w:jc w:val="left"/>
    </w:pPr>
  </w:style>
  <w:style w:type="paragraph" w:styleId="a4">
    <w:name w:val="footer"/>
    <w:basedOn w:val="a"/>
    <w:link w:val="Char"/>
    <w:uiPriority w:val="99"/>
    <w:qFormat/>
    <w:rsid w:val="00BD6D90"/>
    <w:pPr>
      <w:tabs>
        <w:tab w:val="center" w:pos="4153"/>
        <w:tab w:val="right" w:pos="8306"/>
      </w:tabs>
      <w:snapToGrid w:val="0"/>
      <w:jc w:val="left"/>
    </w:pPr>
    <w:rPr>
      <w:sz w:val="18"/>
      <w:szCs w:val="18"/>
    </w:rPr>
  </w:style>
  <w:style w:type="paragraph" w:styleId="a5">
    <w:name w:val="header"/>
    <w:basedOn w:val="a"/>
    <w:link w:val="Char0"/>
    <w:qFormat/>
    <w:rsid w:val="00BD6D90"/>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sid w:val="00BD6D90"/>
    <w:rPr>
      <w:color w:val="0000FF"/>
      <w:u w:val="single"/>
    </w:rPr>
  </w:style>
  <w:style w:type="paragraph" w:styleId="a7">
    <w:name w:val="List Paragraph"/>
    <w:basedOn w:val="a"/>
    <w:uiPriority w:val="99"/>
    <w:qFormat/>
    <w:rsid w:val="00BD6D90"/>
    <w:pPr>
      <w:ind w:firstLineChars="200" w:firstLine="420"/>
    </w:pPr>
  </w:style>
  <w:style w:type="character" w:customStyle="1" w:styleId="Char0">
    <w:name w:val="页眉 Char"/>
    <w:basedOn w:val="a0"/>
    <w:link w:val="a5"/>
    <w:qFormat/>
    <w:rsid w:val="00BD6D90"/>
    <w:rPr>
      <w:rFonts w:asciiTheme="minorHAnsi" w:eastAsiaTheme="minorEastAsia" w:hAnsiTheme="minorHAnsi" w:cstheme="minorBidi"/>
      <w:kern w:val="2"/>
      <w:sz w:val="18"/>
      <w:szCs w:val="18"/>
    </w:rPr>
  </w:style>
  <w:style w:type="character" w:customStyle="1" w:styleId="Char">
    <w:name w:val="页脚 Char"/>
    <w:basedOn w:val="a0"/>
    <w:link w:val="a4"/>
    <w:uiPriority w:val="99"/>
    <w:qFormat/>
    <w:rsid w:val="00BD6D90"/>
    <w:rPr>
      <w:rFonts w:asciiTheme="minorHAnsi" w:eastAsiaTheme="minorEastAsia" w:hAnsiTheme="minorHAnsi" w:cstheme="minorBidi"/>
      <w:kern w:val="2"/>
      <w:sz w:val="18"/>
      <w:szCs w:val="18"/>
    </w:rPr>
  </w:style>
  <w:style w:type="paragraph" w:styleId="a8">
    <w:name w:val="Balloon Text"/>
    <w:basedOn w:val="a"/>
    <w:link w:val="Char1"/>
    <w:semiHidden/>
    <w:unhideWhenUsed/>
    <w:rsid w:val="004A22D1"/>
    <w:rPr>
      <w:sz w:val="18"/>
      <w:szCs w:val="18"/>
    </w:rPr>
  </w:style>
  <w:style w:type="character" w:customStyle="1" w:styleId="Char1">
    <w:name w:val="批注框文本 Char"/>
    <w:basedOn w:val="a0"/>
    <w:link w:val="a8"/>
    <w:semiHidden/>
    <w:rsid w:val="004A22D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70537">
      <w:bodyDiv w:val="1"/>
      <w:marLeft w:val="0"/>
      <w:marRight w:val="0"/>
      <w:marTop w:val="0"/>
      <w:marBottom w:val="0"/>
      <w:divBdr>
        <w:top w:val="none" w:sz="0" w:space="0" w:color="auto"/>
        <w:left w:val="none" w:sz="0" w:space="0" w:color="auto"/>
        <w:bottom w:val="none" w:sz="0" w:space="0" w:color="auto"/>
        <w:right w:val="none" w:sz="0" w:space="0" w:color="auto"/>
      </w:divBdr>
    </w:div>
    <w:div w:id="1021200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552</Words>
  <Characters>3151</Characters>
  <Application>Microsoft Office Word</Application>
  <DocSecurity>0</DocSecurity>
  <Lines>26</Lines>
  <Paragraphs>7</Paragraphs>
  <ScaleCrop>false</ScaleCrop>
  <Company>微软中国</Company>
  <LinksUpToDate>false</LinksUpToDate>
  <CharactersWithSpaces>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Veg1404185466</dc:creator>
  <cp:lastModifiedBy>区编办</cp:lastModifiedBy>
  <cp:revision>9</cp:revision>
  <cp:lastPrinted>2019-05-19T16:22:00Z</cp:lastPrinted>
  <dcterms:created xsi:type="dcterms:W3CDTF">2019-02-20T10:35:00Z</dcterms:created>
  <dcterms:modified xsi:type="dcterms:W3CDTF">2020-10-15T01:40:00Z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